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20" w:rsidRDefault="00CD6264">
      <w:pPr>
        <w:pStyle w:val="Standard"/>
        <w:jc w:val="center"/>
      </w:pPr>
      <w:bookmarkStart w:id="0" w:name="_GoBack"/>
      <w:r>
        <w:rPr>
          <w:rFonts w:ascii="標楷體" w:eastAsia="標楷體" w:hAnsi="標楷體"/>
          <w:sz w:val="36"/>
          <w:szCs w:val="36"/>
        </w:rPr>
        <w:t>教育部設置國家講座辦法部分條文修正條文</w:t>
      </w:r>
    </w:p>
    <w:bookmarkEnd w:id="0"/>
    <w:p w:rsidR="00713020" w:rsidRDefault="00713020">
      <w:pPr>
        <w:pStyle w:val="Standard"/>
        <w:jc w:val="center"/>
      </w:pPr>
    </w:p>
    <w:p w:rsidR="00713020" w:rsidRDefault="00CD6264">
      <w:pPr>
        <w:pStyle w:val="Standard"/>
        <w:snapToGrid w:val="0"/>
        <w:spacing w:line="460" w:lineRule="exact"/>
        <w:ind w:left="794" w:hanging="794"/>
        <w:jc w:val="both"/>
      </w:pPr>
      <w:r>
        <w:rPr>
          <w:rFonts w:ascii="標楷體" w:eastAsia="標楷體" w:hAnsi="標楷體"/>
          <w:sz w:val="28"/>
          <w:szCs w:val="28"/>
        </w:rPr>
        <w:t>第二條　　國家講座應由大學專任教授，於學校報本部推薦截止日時年齡未逾七十歲，且於受推薦或遴選時仍持續積極從事學術研究與教學，聲望卓著，具引導學術思潮，樹立學術典範，並有下列資格之一者主持：</w:t>
      </w:r>
    </w:p>
    <w:p w:rsidR="00713020" w:rsidRDefault="00CD6264">
      <w:pPr>
        <w:pStyle w:val="Standard"/>
        <w:snapToGrid w:val="0"/>
        <w:spacing w:line="460" w:lineRule="exact"/>
        <w:ind w:left="2041" w:hanging="624"/>
        <w:jc w:val="both"/>
      </w:pPr>
      <w:r>
        <w:rPr>
          <w:rFonts w:ascii="標楷體" w:eastAsia="標楷體" w:hAnsi="標楷體"/>
          <w:sz w:val="28"/>
          <w:szCs w:val="28"/>
        </w:rPr>
        <w:t>一、中央研究院院士。</w:t>
      </w:r>
    </w:p>
    <w:p w:rsidR="00713020" w:rsidRDefault="00CD6264">
      <w:pPr>
        <w:pStyle w:val="Standard"/>
        <w:snapToGrid w:val="0"/>
        <w:spacing w:line="460" w:lineRule="exact"/>
        <w:ind w:left="2041" w:hanging="624"/>
        <w:jc w:val="both"/>
      </w:pPr>
      <w:r>
        <w:rPr>
          <w:rFonts w:ascii="標楷體" w:eastAsia="標楷體" w:hAnsi="標楷體"/>
          <w:sz w:val="28"/>
          <w:szCs w:val="28"/>
        </w:rPr>
        <w:t>二、曾獲得本部學術獎且滿三年以上。</w:t>
      </w:r>
    </w:p>
    <w:p w:rsidR="00713020" w:rsidRDefault="00CD6264">
      <w:pPr>
        <w:pStyle w:val="Standard"/>
        <w:snapToGrid w:val="0"/>
        <w:spacing w:line="460" w:lineRule="exact"/>
        <w:ind w:left="2041" w:hanging="624"/>
        <w:jc w:val="both"/>
      </w:pPr>
      <w:r>
        <w:rPr>
          <w:rFonts w:ascii="標楷體" w:eastAsia="標楷體" w:hAnsi="標楷體"/>
          <w:sz w:val="28"/>
          <w:szCs w:val="28"/>
        </w:rPr>
        <w:t>三、在國內外學術或專業領域上有與前二款相當之傑出</w:t>
      </w:r>
      <w:r>
        <w:rPr>
          <w:rFonts w:ascii="標楷體" w:eastAsia="標楷體" w:hAnsi="標楷體"/>
          <w:sz w:val="28"/>
          <w:szCs w:val="28"/>
        </w:rPr>
        <w:t xml:space="preserve">     </w:t>
      </w:r>
      <w:r>
        <w:rPr>
          <w:rFonts w:ascii="標楷體" w:eastAsia="標楷體" w:hAnsi="標楷體"/>
          <w:sz w:val="28"/>
          <w:szCs w:val="28"/>
        </w:rPr>
        <w:t>貢獻。</w:t>
      </w:r>
    </w:p>
    <w:p w:rsidR="00713020" w:rsidRDefault="00CD6264">
      <w:pPr>
        <w:pStyle w:val="Standard"/>
        <w:snapToGrid w:val="0"/>
        <w:spacing w:line="460" w:lineRule="exact"/>
        <w:ind w:left="794" w:hanging="794"/>
        <w:jc w:val="both"/>
      </w:pPr>
      <w:r>
        <w:rPr>
          <w:rFonts w:ascii="標楷體" w:eastAsia="標楷體" w:hAnsi="標楷體"/>
          <w:sz w:val="28"/>
          <w:szCs w:val="28"/>
        </w:rPr>
        <w:t>第三條　　國家講座主持人由大學就具有前條資格者，於校內進行實質審核，並提報校級教師評審委員會通過後，報本部推薦；各大學每一類科至多以推薦三人為限，並由本部遴選之。</w:t>
      </w:r>
    </w:p>
    <w:p w:rsidR="00713020" w:rsidRDefault="00CD6264">
      <w:pPr>
        <w:pStyle w:val="Standard"/>
        <w:snapToGrid w:val="0"/>
        <w:spacing w:line="460" w:lineRule="exact"/>
        <w:ind w:left="1417"/>
        <w:jc w:val="both"/>
      </w:pPr>
      <w:r>
        <w:rPr>
          <w:rFonts w:ascii="標楷體" w:eastAsia="標楷體" w:hAnsi="標楷體"/>
          <w:sz w:val="28"/>
          <w:szCs w:val="28"/>
        </w:rPr>
        <w:t>本部遴選國家講座主持人之程序如下：</w:t>
      </w:r>
    </w:p>
    <w:p w:rsidR="00713020" w:rsidRDefault="00CD6264">
      <w:pPr>
        <w:pStyle w:val="Standard"/>
        <w:snapToGrid w:val="0"/>
        <w:spacing w:line="460" w:lineRule="exact"/>
        <w:ind w:left="2041" w:hanging="624"/>
        <w:jc w:val="both"/>
      </w:pPr>
      <w:r>
        <w:rPr>
          <w:rFonts w:ascii="標楷體" w:eastAsia="標楷體" w:hAnsi="標楷體"/>
          <w:sz w:val="28"/>
          <w:szCs w:val="28"/>
        </w:rPr>
        <w:t>一、依學術領域設置人文及藝術、社會科學、數學及自然科學、生物及醫農科學、工程及應用科學五類科，分別組成審議小組，聘請聲望卓著之學者、專家九人至十一人擔任委員，並由本部學術審議會（以下簡稱學審會）之工作小組指定召集人。</w:t>
      </w:r>
    </w:p>
    <w:p w:rsidR="00713020" w:rsidRDefault="00CD6264">
      <w:pPr>
        <w:pStyle w:val="Standard"/>
        <w:snapToGrid w:val="0"/>
        <w:spacing w:line="460" w:lineRule="exact"/>
        <w:ind w:left="2041" w:hanging="624"/>
        <w:jc w:val="both"/>
      </w:pPr>
      <w:r>
        <w:rPr>
          <w:rFonts w:ascii="標楷體" w:eastAsia="標楷體" w:hAnsi="標楷體"/>
          <w:sz w:val="28"/>
          <w:szCs w:val="28"/>
        </w:rPr>
        <w:t>二、審議小組就推薦案件學術研究及教學表現詳細審閱並充分討論後，進行初審。</w:t>
      </w:r>
    </w:p>
    <w:p w:rsidR="00713020" w:rsidRDefault="00CD6264">
      <w:pPr>
        <w:pStyle w:val="Standard"/>
        <w:snapToGrid w:val="0"/>
        <w:spacing w:line="460" w:lineRule="exact"/>
        <w:ind w:left="2041" w:hanging="624"/>
        <w:jc w:val="both"/>
      </w:pPr>
      <w:r>
        <w:rPr>
          <w:rFonts w:ascii="標楷體" w:eastAsia="標楷體" w:hAnsi="標楷體"/>
          <w:sz w:val="28"/>
          <w:szCs w:val="28"/>
        </w:rPr>
        <w:t>三、初審通過者由審議</w:t>
      </w:r>
      <w:r>
        <w:rPr>
          <w:rFonts w:ascii="標楷體" w:eastAsia="標楷體" w:hAnsi="標楷體"/>
          <w:sz w:val="28"/>
          <w:szCs w:val="28"/>
        </w:rPr>
        <w:t>小組將每一被推薦人之相關資料，分別送請學者、專家三人或四人評審後，再由審議小組進行複審，並向工作小組推薦講座候選人。</w:t>
      </w:r>
    </w:p>
    <w:p w:rsidR="00713020" w:rsidRDefault="00CD6264">
      <w:pPr>
        <w:pStyle w:val="Standard"/>
        <w:snapToGrid w:val="0"/>
        <w:spacing w:line="460" w:lineRule="exact"/>
        <w:ind w:left="2041" w:hanging="624"/>
        <w:jc w:val="both"/>
      </w:pPr>
      <w:r>
        <w:rPr>
          <w:rFonts w:ascii="標楷體" w:eastAsia="標楷體" w:hAnsi="標楷體"/>
          <w:sz w:val="28"/>
          <w:szCs w:val="28"/>
        </w:rPr>
        <w:t>四、工作小組應就前款被推薦講座候選人各項審查結果審議後，擬具講座</w:t>
      </w:r>
      <w:r>
        <w:rPr>
          <w:rFonts w:ascii="標楷體" w:eastAsia="標楷體" w:hAnsi="標楷體"/>
          <w:sz w:val="28"/>
          <w:szCs w:val="28"/>
        </w:rPr>
        <w:t xml:space="preserve"> </w:t>
      </w:r>
      <w:r>
        <w:rPr>
          <w:rFonts w:ascii="標楷體" w:eastAsia="標楷體" w:hAnsi="標楷體"/>
          <w:sz w:val="28"/>
          <w:szCs w:val="28"/>
        </w:rPr>
        <w:t>候選人名單，提請學審會全體委員會議審議。</w:t>
      </w:r>
    </w:p>
    <w:p w:rsidR="00713020" w:rsidRDefault="00CD6264">
      <w:pPr>
        <w:pStyle w:val="Standard"/>
        <w:snapToGrid w:val="0"/>
        <w:spacing w:line="460" w:lineRule="exact"/>
        <w:ind w:left="2041" w:hanging="624"/>
        <w:jc w:val="both"/>
      </w:pPr>
      <w:r>
        <w:rPr>
          <w:rFonts w:ascii="標楷體" w:eastAsia="標楷體" w:hAnsi="標楷體"/>
          <w:sz w:val="28"/>
          <w:szCs w:val="28"/>
        </w:rPr>
        <w:t>五、學審會全體委員會議審議結果，應有全體委員二分之一以上之出席及依下列規定之一通過，並依得票數高低遴選講座主持人。</w:t>
      </w:r>
    </w:p>
    <w:p w:rsidR="00713020" w:rsidRDefault="00CD6264">
      <w:pPr>
        <w:pStyle w:val="Standard"/>
        <w:snapToGrid w:val="0"/>
        <w:spacing w:line="460" w:lineRule="exact"/>
        <w:ind w:left="2381" w:hanging="624"/>
        <w:jc w:val="both"/>
        <w:rPr>
          <w:rFonts w:ascii="標楷體" w:eastAsia="標楷體" w:hAnsi="標楷體"/>
          <w:sz w:val="28"/>
          <w:szCs w:val="28"/>
        </w:rPr>
      </w:pPr>
      <w:bookmarkStart w:id="1" w:name="_Hlk76053681"/>
      <w:r>
        <w:rPr>
          <w:rFonts w:ascii="標楷體" w:eastAsia="標楷體" w:hAnsi="標楷體"/>
          <w:sz w:val="28"/>
          <w:szCs w:val="28"/>
        </w:rPr>
        <w:lastRenderedPageBreak/>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出席委員三分之二以上之同意。</w:t>
      </w:r>
    </w:p>
    <w:p w:rsidR="00713020" w:rsidRDefault="00CD6264">
      <w:pPr>
        <w:pStyle w:val="Standard"/>
        <w:snapToGrid w:val="0"/>
        <w:spacing w:line="460" w:lineRule="exact"/>
        <w:ind w:left="2381"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出席委員過半數之同意，且被推薦講座候選人所屬類科委員二分之一以上之出席及經該類科出席委員三分之二以上之同意。</w:t>
      </w:r>
    </w:p>
    <w:bookmarkEnd w:id="1"/>
    <w:p w:rsidR="00713020" w:rsidRDefault="00CD6264">
      <w:pPr>
        <w:pStyle w:val="Standard"/>
        <w:snapToGrid w:val="0"/>
        <w:spacing w:line="460" w:lineRule="exact"/>
        <w:ind w:left="2041" w:hanging="624"/>
        <w:jc w:val="both"/>
      </w:pPr>
      <w:r>
        <w:rPr>
          <w:rFonts w:ascii="標楷體" w:eastAsia="標楷體" w:hAnsi="標楷體"/>
          <w:sz w:val="28"/>
          <w:szCs w:val="28"/>
        </w:rPr>
        <w:t>六、遴選之講座主持人數未足額時，經學審會全體委員會議二分之一以上之委員出席及出席委員過半數之同意，得繼續進行投票一次；其投票結果仍未達前款所定同意數者，該部分之名額從缺。</w:t>
      </w:r>
    </w:p>
    <w:p w:rsidR="00713020" w:rsidRDefault="00713020">
      <w:pPr>
        <w:pStyle w:val="Standard"/>
        <w:snapToGrid w:val="0"/>
        <w:spacing w:line="460" w:lineRule="exact"/>
        <w:jc w:val="both"/>
        <w:rPr>
          <w:rFonts w:ascii="標楷體" w:eastAsia="標楷體" w:hAnsi="標楷體"/>
          <w:sz w:val="28"/>
          <w:szCs w:val="28"/>
        </w:rPr>
      </w:pPr>
    </w:p>
    <w:p w:rsidR="00713020" w:rsidRDefault="00CD6264">
      <w:pPr>
        <w:pStyle w:val="Standard"/>
        <w:snapToGrid w:val="0"/>
        <w:spacing w:line="460" w:lineRule="exact"/>
        <w:ind w:left="794" w:hanging="794"/>
        <w:jc w:val="both"/>
      </w:pPr>
      <w:r>
        <w:rPr>
          <w:rFonts w:ascii="標楷體" w:eastAsia="標楷體" w:hAnsi="標楷體"/>
          <w:sz w:val="28"/>
          <w:szCs w:val="28"/>
        </w:rPr>
        <w:t>第三條之一　　學審會委員於審議及投票程序之迴避方式，依下列規定辦理：</w:t>
      </w:r>
    </w:p>
    <w:p w:rsidR="00713020" w:rsidRDefault="00CD6264">
      <w:pPr>
        <w:pStyle w:val="Standard"/>
        <w:snapToGrid w:val="0"/>
        <w:spacing w:line="460" w:lineRule="exact"/>
        <w:ind w:left="2041" w:hanging="624"/>
        <w:jc w:val="both"/>
      </w:pPr>
      <w:r>
        <w:rPr>
          <w:rFonts w:ascii="標楷體" w:eastAsia="標楷體" w:hAnsi="標楷體"/>
          <w:sz w:val="28"/>
          <w:szCs w:val="28"/>
        </w:rPr>
        <w:t>一、</w:t>
      </w:r>
      <w:bookmarkStart w:id="2" w:name="_Hlk76043704"/>
      <w:r>
        <w:rPr>
          <w:rFonts w:ascii="標楷體" w:eastAsia="標楷體" w:hAnsi="標楷體"/>
          <w:sz w:val="28"/>
          <w:szCs w:val="28"/>
        </w:rPr>
        <w:t>學審會委員被推薦為講座候選人時，對於一切審議及投票程序均應迴避</w:t>
      </w:r>
      <w:bookmarkEnd w:id="2"/>
      <w:r>
        <w:rPr>
          <w:rFonts w:ascii="標楷體" w:eastAsia="標楷體" w:hAnsi="標楷體"/>
          <w:sz w:val="28"/>
          <w:szCs w:val="28"/>
        </w:rPr>
        <w:t>。</w:t>
      </w:r>
    </w:p>
    <w:p w:rsidR="00713020" w:rsidRDefault="00CD6264">
      <w:pPr>
        <w:pStyle w:val="Standard"/>
        <w:snapToGrid w:val="0"/>
        <w:spacing w:line="460" w:lineRule="exact"/>
        <w:ind w:left="2041" w:hanging="624"/>
        <w:jc w:val="both"/>
      </w:pPr>
      <w:r>
        <w:rPr>
          <w:rFonts w:ascii="標楷體" w:eastAsia="標楷體" w:hAnsi="標楷體"/>
          <w:sz w:val="28"/>
          <w:szCs w:val="28"/>
        </w:rPr>
        <w:t>二、學審會委員與被推薦講座候選人間有下列情形之一者，應向學審會揭露，得參與審議程序，於投票程序應予迴避：</w:t>
      </w:r>
    </w:p>
    <w:p w:rsidR="00713020" w:rsidRDefault="00CD6264">
      <w:pPr>
        <w:pStyle w:val="Standard"/>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配偶、前配偶、四親等內之血親或三親等內之姻親或曾有此關係。</w:t>
      </w:r>
    </w:p>
    <w:p w:rsidR="00713020" w:rsidRDefault="00CD6264">
      <w:pPr>
        <w:pStyle w:val="Standard"/>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曾有指導博士、碩士論</w:t>
      </w:r>
      <w:r>
        <w:rPr>
          <w:rFonts w:ascii="標楷體" w:eastAsia="標楷體" w:hAnsi="標楷體"/>
          <w:sz w:val="28"/>
          <w:szCs w:val="28"/>
        </w:rPr>
        <w:t>文之師生關係。</w:t>
      </w:r>
    </w:p>
    <w:p w:rsidR="00713020" w:rsidRDefault="00CD6264">
      <w:pPr>
        <w:pStyle w:val="Standard"/>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任職同一系、所、科或相當層級單位。</w:t>
      </w:r>
    </w:p>
    <w:p w:rsidR="00713020" w:rsidRDefault="00CD6264">
      <w:pPr>
        <w:pStyle w:val="Standard"/>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近二年發表論文或研究成果之共同作者。</w:t>
      </w:r>
    </w:p>
    <w:p w:rsidR="00713020" w:rsidRDefault="00CD6264">
      <w:pPr>
        <w:pStyle w:val="Standard"/>
        <w:snapToGrid w:val="0"/>
        <w:spacing w:line="460" w:lineRule="exact"/>
        <w:ind w:left="2324" w:hanging="62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近三年有共同執行研究計畫。</w:t>
      </w:r>
    </w:p>
    <w:p w:rsidR="00713020" w:rsidRDefault="00CD6264">
      <w:pPr>
        <w:pStyle w:val="Standard"/>
        <w:snapToGrid w:val="0"/>
        <w:spacing w:line="460" w:lineRule="exact"/>
        <w:ind w:left="2041" w:hanging="624"/>
        <w:jc w:val="both"/>
      </w:pPr>
      <w:r>
        <w:t>三、學審會委員與被推薦講座候選人間有前款所定應揭露情形以外之事項，得自行向學審會揭露，由學審會討論作成是否迴避之決議。</w:t>
      </w:r>
    </w:p>
    <w:p w:rsidR="00713020" w:rsidRDefault="00CD6264">
      <w:pPr>
        <w:pStyle w:val="Standard"/>
        <w:snapToGrid w:val="0"/>
        <w:spacing w:line="460" w:lineRule="exact"/>
        <w:ind w:left="794" w:hanging="794"/>
        <w:jc w:val="both"/>
      </w:pPr>
      <w:r>
        <w:rPr>
          <w:rFonts w:ascii="標楷體" w:eastAsia="標楷體" w:hAnsi="標楷體"/>
          <w:sz w:val="28"/>
          <w:szCs w:val="28"/>
        </w:rPr>
        <w:t>第四條　　國家講座主持人每年核准名額，以十三名為限，依第三條第二項第一款所定類科分配名額，除人文及藝術、社會科學類科各分配二名外，其餘三類科各分配三名。</w:t>
      </w:r>
    </w:p>
    <w:sectPr w:rsidR="00713020">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64" w:rsidRDefault="00CD6264">
      <w:r>
        <w:separator/>
      </w:r>
    </w:p>
  </w:endnote>
  <w:endnote w:type="continuationSeparator" w:id="0">
    <w:p w:rsidR="00CD6264" w:rsidRDefault="00CD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64" w:rsidRDefault="00CD6264">
      <w:r>
        <w:rPr>
          <w:color w:val="000000"/>
        </w:rPr>
        <w:separator/>
      </w:r>
    </w:p>
  </w:footnote>
  <w:footnote w:type="continuationSeparator" w:id="0">
    <w:p w:rsidR="00CD6264" w:rsidRDefault="00CD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3C6E"/>
    <w:multiLevelType w:val="multilevel"/>
    <w:tmpl w:val="F27286F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13020"/>
    <w:rsid w:val="00713020"/>
    <w:rsid w:val="00CD6264"/>
    <w:rsid w:val="00EA0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3DB70-1087-42CD-8F23-52FFC7D8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王健如</dc:creator>
  <cp:lastModifiedBy>user</cp:lastModifiedBy>
  <cp:revision>2</cp:revision>
  <cp:lastPrinted>2020-11-13T09:23:00Z</cp:lastPrinted>
  <dcterms:created xsi:type="dcterms:W3CDTF">2021-10-19T23:58:00Z</dcterms:created>
  <dcterms:modified xsi:type="dcterms:W3CDTF">2021-10-19T23:58:00Z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